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1D5" w:rsidRDefault="00D251D5" w:rsidP="00D251D5">
      <w:pPr>
        <w:spacing w:line="480" w:lineRule="auto"/>
        <w:ind w:firstLine="720"/>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p>
    <w:p w:rsidR="00D251D5" w:rsidRPr="00D251D5" w:rsidRDefault="00D251D5" w:rsidP="00D251D5">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Accounting Rate of Return</w:t>
      </w:r>
    </w:p>
    <w:p w:rsidR="00D251D5" w:rsidRPr="00D251D5" w:rsidRDefault="00D251D5" w:rsidP="00D251D5">
      <w:pPr>
        <w:spacing w:line="480" w:lineRule="auto"/>
        <w:jc w:val="center"/>
        <w:rPr>
          <w:rFonts w:ascii="Times New Roman" w:hAnsi="Times New Roman" w:cs="Times New Roman"/>
          <w:sz w:val="24"/>
          <w:szCs w:val="24"/>
        </w:rPr>
      </w:pPr>
    </w:p>
    <w:p w:rsidR="00D251D5" w:rsidRPr="00D251D5" w:rsidRDefault="00D251D5" w:rsidP="00D251D5">
      <w:pPr>
        <w:spacing w:line="480" w:lineRule="auto"/>
        <w:jc w:val="center"/>
        <w:rPr>
          <w:rFonts w:ascii="Times New Roman" w:hAnsi="Times New Roman" w:cs="Times New Roman"/>
          <w:sz w:val="24"/>
          <w:szCs w:val="24"/>
        </w:rPr>
      </w:pPr>
      <w:r w:rsidRPr="00D251D5">
        <w:rPr>
          <w:rFonts w:ascii="Times New Roman" w:hAnsi="Times New Roman" w:cs="Times New Roman"/>
          <w:sz w:val="24"/>
          <w:szCs w:val="24"/>
        </w:rPr>
        <w:t>Name of Student</w:t>
      </w:r>
    </w:p>
    <w:p w:rsidR="00D251D5" w:rsidRPr="00D251D5" w:rsidRDefault="00D251D5" w:rsidP="00D251D5">
      <w:pPr>
        <w:spacing w:line="480" w:lineRule="auto"/>
        <w:jc w:val="center"/>
        <w:rPr>
          <w:rFonts w:ascii="Times New Roman" w:hAnsi="Times New Roman" w:cs="Times New Roman"/>
          <w:sz w:val="24"/>
          <w:szCs w:val="24"/>
        </w:rPr>
      </w:pPr>
    </w:p>
    <w:p w:rsidR="00D251D5" w:rsidRPr="00D251D5" w:rsidRDefault="00D251D5" w:rsidP="00D251D5">
      <w:pPr>
        <w:spacing w:line="480" w:lineRule="auto"/>
        <w:jc w:val="center"/>
        <w:rPr>
          <w:rFonts w:ascii="Times New Roman" w:hAnsi="Times New Roman" w:cs="Times New Roman"/>
          <w:sz w:val="24"/>
          <w:szCs w:val="24"/>
        </w:rPr>
      </w:pPr>
      <w:r w:rsidRPr="00D251D5">
        <w:rPr>
          <w:rFonts w:ascii="Times New Roman" w:hAnsi="Times New Roman" w:cs="Times New Roman"/>
          <w:sz w:val="24"/>
          <w:szCs w:val="24"/>
        </w:rPr>
        <w:t>Institutional Affiliation</w:t>
      </w:r>
    </w:p>
    <w:p w:rsidR="00D251D5" w:rsidRPr="00D251D5" w:rsidRDefault="00D251D5" w:rsidP="00D251D5">
      <w:pPr>
        <w:spacing w:line="480" w:lineRule="auto"/>
        <w:jc w:val="center"/>
        <w:rPr>
          <w:rFonts w:ascii="Times New Roman" w:hAnsi="Times New Roman" w:cs="Times New Roman"/>
          <w:sz w:val="24"/>
          <w:szCs w:val="24"/>
        </w:rPr>
      </w:pPr>
    </w:p>
    <w:p w:rsidR="00D251D5" w:rsidRPr="00D251D5" w:rsidRDefault="00D251D5" w:rsidP="00D251D5">
      <w:pPr>
        <w:spacing w:line="480" w:lineRule="auto"/>
        <w:jc w:val="center"/>
        <w:rPr>
          <w:rFonts w:ascii="Times New Roman" w:hAnsi="Times New Roman" w:cs="Times New Roman"/>
          <w:sz w:val="24"/>
          <w:szCs w:val="24"/>
        </w:rPr>
      </w:pPr>
      <w:r w:rsidRPr="00D251D5">
        <w:rPr>
          <w:rFonts w:ascii="Times New Roman" w:hAnsi="Times New Roman" w:cs="Times New Roman"/>
          <w:sz w:val="24"/>
          <w:szCs w:val="24"/>
        </w:rPr>
        <w:t>Name of Professor</w:t>
      </w:r>
    </w:p>
    <w:p w:rsidR="00D251D5" w:rsidRPr="00D251D5" w:rsidRDefault="00D251D5" w:rsidP="00D251D5">
      <w:pPr>
        <w:spacing w:line="480" w:lineRule="auto"/>
        <w:jc w:val="center"/>
        <w:rPr>
          <w:rFonts w:ascii="Times New Roman" w:hAnsi="Times New Roman" w:cs="Times New Roman"/>
          <w:sz w:val="24"/>
          <w:szCs w:val="24"/>
        </w:rPr>
      </w:pPr>
    </w:p>
    <w:p w:rsidR="00D251D5" w:rsidRDefault="00D251D5" w:rsidP="00D251D5">
      <w:pPr>
        <w:spacing w:line="480" w:lineRule="auto"/>
        <w:jc w:val="center"/>
        <w:rPr>
          <w:rFonts w:ascii="Times New Roman" w:hAnsi="Times New Roman" w:cs="Times New Roman"/>
          <w:sz w:val="24"/>
          <w:szCs w:val="24"/>
        </w:rPr>
      </w:pPr>
      <w:r w:rsidRPr="00D251D5">
        <w:rPr>
          <w:rFonts w:ascii="Times New Roman" w:hAnsi="Times New Roman" w:cs="Times New Roman"/>
          <w:sz w:val="24"/>
          <w:szCs w:val="24"/>
        </w:rPr>
        <w:t>Date</w:t>
      </w:r>
      <w:r>
        <w:rPr>
          <w:rFonts w:ascii="Times New Roman" w:hAnsi="Times New Roman" w:cs="Times New Roman"/>
          <w:sz w:val="24"/>
          <w:szCs w:val="24"/>
        </w:rPr>
        <w:br w:type="page"/>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lastRenderedPageBreak/>
        <w:t xml:space="preserve">The accounting rate of return is the average net income, which assets are expected to generate over the average capital cost. The accounting rate of return is expressed as an annual percentage, and it is used by organizations and companies when making capital marketing decisions. The ratio can also be defined as the estimated profit of a project to the average investment a company has made in the project.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 xml:space="preserve">The average rate of return = </w:t>
      </w:r>
      <m:oMath>
        <m:f>
          <m:fPr>
            <m:ctrlPr>
              <w:rPr>
                <w:rFonts w:ascii="Cambria Math" w:hAnsi="Cambria Math" w:cs="Times New Roman"/>
                <w:i/>
                <w:sz w:val="32"/>
                <w:szCs w:val="32"/>
              </w:rPr>
            </m:ctrlPr>
          </m:fPr>
          <m:num>
            <m:r>
              <w:rPr>
                <w:rFonts w:ascii="Cambria Math" w:hAnsi="Cambria Math" w:cs="Times New Roman"/>
                <w:sz w:val="32"/>
                <w:szCs w:val="32"/>
              </w:rPr>
              <m:t>average net profit</m:t>
            </m:r>
          </m:num>
          <m:den>
            <m:r>
              <w:rPr>
                <w:rFonts w:ascii="Cambria Math" w:hAnsi="Cambria Math" w:cs="Times New Roman"/>
                <w:sz w:val="32"/>
                <w:szCs w:val="32"/>
              </w:rPr>
              <m:t>average investment</m:t>
            </m:r>
          </m:den>
        </m:f>
      </m:oMath>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 xml:space="preserve">The ARR uses the annual net profit from an investment, which in most cases, is given as the total revenue less any annual cost accrued in the process of implementing the investment. If the investment made is a fixed asset, the annual profit is calculated by deducting the amount of depreciation form the annual revenue. The amount obtained for the annual profit is then divided by the initial cost of the investment and then multiplying the result by 100 to obtain a percentage.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 xml:space="preserve">The ARR is used as a measure during capital budgeting. When a company or the board of directors, what a quick answer about the profitability of an investment. The rate can be used by itself, but it is most effective when comparing multiple projects. This way, the board can calculate the expected return for each project before making the choice on which project to invest in. Before the decision to make an acquisition or an investment is made, the ARR is first calculated. During its calculation, the acquisition committee or the board of directors must include any expense which is likely to be incurred as a result of the project. Each company has the desired rate of return when making any investment. Therefore, if the calculated rate of return of a project is lower than the desired rate, the company should reject the project. However, if the expected rate of return is equal to or greater than the required rate, then the company can accept </w:t>
      </w:r>
      <w:r w:rsidRPr="00D251D5">
        <w:rPr>
          <w:rFonts w:ascii="Times New Roman" w:hAnsi="Times New Roman" w:cs="Times New Roman"/>
          <w:sz w:val="24"/>
          <w:szCs w:val="24"/>
        </w:rPr>
        <w:lastRenderedPageBreak/>
        <w:t xml:space="preserve">the project. However, the choice of a particular investment is based on the return rate. That is, the higher the return rate, the more acceptable a project is.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 xml:space="preserve">Kings Media Services is a company that is a local company in my community which does all forms of news reporting. Just like any other company or organization, Kings Media Services has a goal of creating long –term value. The best way for the company to do so is by allocating resources to business, products, and customers who can deliver the most profitable growth through strategic resource allocation. The company is faced with enormous objectives. The management has many ideas on maintaining the sustainability of the business in the long-term. The many ideas create a dilemma within the company as hard-earned resources are often allocated to different investments without making a proper analysis of the returns. More often, some of the top </w:t>
      </w:r>
      <w:r w:rsidR="003F56F6" w:rsidRPr="00D251D5">
        <w:rPr>
          <w:rFonts w:ascii="Times New Roman" w:hAnsi="Times New Roman" w:cs="Times New Roman"/>
          <w:sz w:val="24"/>
          <w:szCs w:val="24"/>
        </w:rPr>
        <w:t>managers’</w:t>
      </w:r>
      <w:r w:rsidRPr="00D251D5">
        <w:rPr>
          <w:rFonts w:ascii="Times New Roman" w:hAnsi="Times New Roman" w:cs="Times New Roman"/>
          <w:sz w:val="24"/>
          <w:szCs w:val="24"/>
        </w:rPr>
        <w:t xml:space="preserve"> end up setting objectives that are not aligned with the goals of the company.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The company also lacks a clear metric for determining where to create long-term value. The company is not focused enough in coming up with a way of measuring the capabilities of projects</w:t>
      </w:r>
      <w:r w:rsidR="003F56F6">
        <w:rPr>
          <w:rFonts w:ascii="Times New Roman" w:hAnsi="Times New Roman" w:cs="Times New Roman"/>
          <w:sz w:val="24"/>
          <w:szCs w:val="24"/>
        </w:rPr>
        <w:t xml:space="preserve"> (Heckman et al., 2010)</w:t>
      </w:r>
      <w:r w:rsidRPr="00D251D5">
        <w:rPr>
          <w:rFonts w:ascii="Times New Roman" w:hAnsi="Times New Roman" w:cs="Times New Roman"/>
          <w:sz w:val="24"/>
          <w:szCs w:val="24"/>
        </w:rPr>
        <w:t>. The top management of the company does not put much interest in taking the diagnosis of the market and the different strategic positioning within the market. Finally, the company lacks in decision making. The process used by managers in the company decide whether or not to invest in a given project depends on how well the project is presented. None of the managers take their time to check on the expected rate of return as compared to the investment made in the project. As such, the company is prone too making decisions without all the necessary facts</w:t>
      </w:r>
      <w:r w:rsidR="00C12E69">
        <w:rPr>
          <w:rFonts w:ascii="Times New Roman" w:hAnsi="Times New Roman" w:cs="Times New Roman"/>
          <w:sz w:val="24"/>
          <w:szCs w:val="24"/>
        </w:rPr>
        <w:t xml:space="preserve"> (Proctor, </w:t>
      </w:r>
      <w:r w:rsidR="00C12E69" w:rsidRPr="00C12E69">
        <w:rPr>
          <w:rFonts w:ascii="Times New Roman" w:hAnsi="Times New Roman" w:cs="Times New Roman"/>
          <w:sz w:val="24"/>
          <w:szCs w:val="24"/>
        </w:rPr>
        <w:t>2012)</w:t>
      </w:r>
      <w:r w:rsidRPr="00D251D5">
        <w:rPr>
          <w:rFonts w:ascii="Times New Roman" w:hAnsi="Times New Roman" w:cs="Times New Roman"/>
          <w:sz w:val="24"/>
          <w:szCs w:val="24"/>
        </w:rPr>
        <w:t xml:space="preserve">. The company is not entirely out of business, but the management has the chance to make the company flourish.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lastRenderedPageBreak/>
        <w:t>When any company is making capital budgeting decisions, it is highly essential to consider the strategic allocation of financial resources in the different investments to ensure long-term sustainability</w:t>
      </w:r>
      <w:r w:rsidR="00C12E69">
        <w:rPr>
          <w:rFonts w:ascii="Times New Roman" w:hAnsi="Times New Roman" w:cs="Times New Roman"/>
          <w:sz w:val="24"/>
          <w:szCs w:val="24"/>
        </w:rPr>
        <w:t xml:space="preserve"> (Chan</w:t>
      </w:r>
      <w:bookmarkStart w:id="0" w:name="_GoBack"/>
      <w:bookmarkEnd w:id="0"/>
      <w:r w:rsidR="00C12E69">
        <w:rPr>
          <w:rFonts w:ascii="Times New Roman" w:hAnsi="Times New Roman" w:cs="Times New Roman"/>
          <w:sz w:val="24"/>
          <w:szCs w:val="24"/>
        </w:rPr>
        <w:t xml:space="preserve">, Lin &amp; Strong, </w:t>
      </w:r>
      <w:r w:rsidR="00C12E69" w:rsidRPr="00C12E69">
        <w:rPr>
          <w:rFonts w:ascii="Times New Roman" w:hAnsi="Times New Roman" w:cs="Times New Roman"/>
          <w:sz w:val="24"/>
          <w:szCs w:val="24"/>
        </w:rPr>
        <w:t>2009)</w:t>
      </w:r>
      <w:r w:rsidRPr="00D251D5">
        <w:rPr>
          <w:rFonts w:ascii="Times New Roman" w:hAnsi="Times New Roman" w:cs="Times New Roman"/>
          <w:sz w:val="24"/>
          <w:szCs w:val="24"/>
        </w:rPr>
        <w:t>. Kings Media Services needs to ensure that before the implementation of long term projects or investments, the management of the company needs to be aligned. The main objective of the company management should be on how to come up with productive long-term investments by allocating resources to the right projects</w:t>
      </w:r>
      <w:r w:rsidR="00C12E69">
        <w:rPr>
          <w:rFonts w:ascii="Times New Roman" w:hAnsi="Times New Roman" w:cs="Times New Roman"/>
          <w:sz w:val="24"/>
          <w:szCs w:val="24"/>
        </w:rPr>
        <w:t xml:space="preserve"> (Nezlobin, Rajan &amp; Reichelstein, 2012)</w:t>
      </w:r>
      <w:r w:rsidRPr="00D251D5">
        <w:rPr>
          <w:rFonts w:ascii="Times New Roman" w:hAnsi="Times New Roman" w:cs="Times New Roman"/>
          <w:sz w:val="24"/>
          <w:szCs w:val="24"/>
        </w:rPr>
        <w:t>. This way, the company can balance between the present growth and the return trade-off. Second, the company should have a clear line of sight for creating long-term value. The company might opt for the 80/20 rule, where 80% of value-creating is raised from 20% of the allocated resources. This way, the company can focus its remaining resources on other investments. However, it is highly significant that the company makes the right choice of investment.</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Making a sure decision about an investment means that the company has to scrutinize each investment individually and then compare it with the others. In the business environment, the most critical thing when making an investment is knowing the number of returns that will be generated from that particular venture</w:t>
      </w:r>
      <w:r w:rsidR="003F56F6">
        <w:rPr>
          <w:rFonts w:ascii="Times New Roman" w:hAnsi="Times New Roman" w:cs="Times New Roman"/>
          <w:sz w:val="24"/>
          <w:szCs w:val="24"/>
        </w:rPr>
        <w:t xml:space="preserve"> (Hsieh &amp; Klenow, </w:t>
      </w:r>
      <w:r w:rsidR="003F56F6" w:rsidRPr="003F56F6">
        <w:rPr>
          <w:rFonts w:ascii="Times New Roman" w:hAnsi="Times New Roman" w:cs="Times New Roman"/>
          <w:sz w:val="24"/>
          <w:szCs w:val="24"/>
        </w:rPr>
        <w:t>2010)</w:t>
      </w:r>
      <w:r w:rsidRPr="00D251D5">
        <w:rPr>
          <w:rFonts w:ascii="Times New Roman" w:hAnsi="Times New Roman" w:cs="Times New Roman"/>
          <w:sz w:val="24"/>
          <w:szCs w:val="24"/>
        </w:rPr>
        <w:t>. This makes the average rate of return particularly suited for solving this dilemma for the company management. The average rate of return will be particularly useful in the company because it allows for fast computations. Also, the method of choosing an investment during budget financing ensures that the managers assess each investment individually. The managers get to understand the expected returns made by investment and compare them with the number of resources that are likely to finance such projects. In the end, they have an average rate of returns for different projects.</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lastRenderedPageBreak/>
        <w:t>The managers are better positioned to make a long-term choice on what the company will invest in depending on the life of the investment, the expected return date, and other factors that the managers might consider. The average rate of return thus makes decision making and resource allocation straightforward the managers can easily defend their choice of a particular investment. Strategic resource allocating is the process through which the company management makes the right choice in investment. This is done by choosing investment which has good returns on the capital investment</w:t>
      </w:r>
      <w:r w:rsidR="003F56F6">
        <w:rPr>
          <w:rFonts w:ascii="Times New Roman" w:hAnsi="Times New Roman" w:cs="Times New Roman"/>
          <w:sz w:val="24"/>
          <w:szCs w:val="24"/>
        </w:rPr>
        <w:t xml:space="preserve"> (Hsieh &amp; Klenow, </w:t>
      </w:r>
      <w:r w:rsidR="003F56F6" w:rsidRPr="003F56F6">
        <w:rPr>
          <w:rFonts w:ascii="Times New Roman" w:hAnsi="Times New Roman" w:cs="Times New Roman"/>
          <w:sz w:val="24"/>
          <w:szCs w:val="24"/>
        </w:rPr>
        <w:t>2010)</w:t>
      </w:r>
      <w:r w:rsidRPr="00D251D5">
        <w:rPr>
          <w:rFonts w:ascii="Times New Roman" w:hAnsi="Times New Roman" w:cs="Times New Roman"/>
          <w:sz w:val="24"/>
          <w:szCs w:val="24"/>
        </w:rPr>
        <w:t xml:space="preserve">. For Kings Media Services, useful resource allocation is required when the management is making important capital budgeting decisions. Implementing the use of the average rate of return on the capital as a metric to measure the worthwhile of different projects is highly recommended to the company. It is good to note that there are new emerging companies which have not been favorably competing with the company. However, reports from different sources state that these companies will give the Kings Media Services a run for their money in the coming years. This means that the company has to make plans now in preparation for very stiff future competition by investing in long-term projects. </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The company should, however, use the average rate of return to determine whether or not to invest in any given project. Currently, media stations are broadcasting using high definition video cameras to give their consumers good quality pictures. The choice of whether or not Kings Media Services should invest in buying new high definition video cameras will be made by considering the different prices of cameras, the total revenue, and the depreciation rate. The company will generate different rates, and from the results, the managers can make the choice on which type or brand of equipment to buy, considering the expected rate of return and the calculated rate of return</w:t>
      </w:r>
      <w:r w:rsidR="003F56F6">
        <w:rPr>
          <w:rFonts w:ascii="Times New Roman" w:hAnsi="Times New Roman" w:cs="Times New Roman"/>
          <w:sz w:val="24"/>
          <w:szCs w:val="24"/>
        </w:rPr>
        <w:t xml:space="preserve"> (Arrow &amp; Kruz, </w:t>
      </w:r>
      <w:r w:rsidR="003F56F6" w:rsidRPr="003F56F6">
        <w:rPr>
          <w:rFonts w:ascii="Times New Roman" w:hAnsi="Times New Roman" w:cs="Times New Roman"/>
          <w:sz w:val="24"/>
          <w:szCs w:val="24"/>
        </w:rPr>
        <w:t>2013)</w:t>
      </w:r>
      <w:r w:rsidRPr="00D251D5">
        <w:rPr>
          <w:rFonts w:ascii="Times New Roman" w:hAnsi="Times New Roman" w:cs="Times New Roman"/>
          <w:sz w:val="24"/>
          <w:szCs w:val="24"/>
        </w:rPr>
        <w:t xml:space="preserve">. The company management might also opt to do </w:t>
      </w:r>
      <w:r w:rsidRPr="00D251D5">
        <w:rPr>
          <w:rFonts w:ascii="Times New Roman" w:hAnsi="Times New Roman" w:cs="Times New Roman"/>
          <w:sz w:val="24"/>
          <w:szCs w:val="24"/>
        </w:rPr>
        <w:lastRenderedPageBreak/>
        <w:t xml:space="preserve">away with the project if the expected returns are higher than the calculated returns of the investment. The company can easily compare two or more completely unrelated projects and make a choice on which is the most productive. The process of using an average rate of return is quite fast, and it does not require complex computations to arrive at the answer. This makes it particularly useful during important board meetings where the managers have to convince the board to invest in a particular project as compared to another. Using the ratios, the managers can easily sway the executive by making a good presentation. The executive will way on the different investments were resources can be allocated and the processes which are better suited to make good returns. </w:t>
      </w:r>
    </w:p>
    <w:p w:rsidR="001865A5" w:rsidRPr="00D251D5" w:rsidRDefault="001865A5" w:rsidP="003F56F6">
      <w:pPr>
        <w:spacing w:line="480" w:lineRule="auto"/>
        <w:ind w:firstLine="720"/>
        <w:jc w:val="center"/>
        <w:rPr>
          <w:rFonts w:ascii="Times New Roman" w:hAnsi="Times New Roman" w:cs="Times New Roman"/>
          <w:sz w:val="24"/>
          <w:szCs w:val="24"/>
        </w:rPr>
      </w:pPr>
      <w:r w:rsidRPr="00D251D5">
        <w:rPr>
          <w:rFonts w:ascii="Times New Roman" w:hAnsi="Times New Roman" w:cs="Times New Roman"/>
          <w:sz w:val="24"/>
          <w:szCs w:val="24"/>
        </w:rPr>
        <w:t>Conclusion</w:t>
      </w:r>
    </w:p>
    <w:p w:rsidR="001865A5" w:rsidRPr="00D251D5"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t>For any company, the return rate from an investment made is very critical, and it is used to determine whether or not the company should invest in any given venture. The amount of returns is a handy tool, and its application is highly undoubted. However, alongside this critical tool, it is determining the ARR</w:t>
      </w:r>
      <w:r w:rsidR="003F56F6">
        <w:rPr>
          <w:rFonts w:ascii="Times New Roman" w:hAnsi="Times New Roman" w:cs="Times New Roman"/>
          <w:sz w:val="24"/>
          <w:szCs w:val="24"/>
        </w:rPr>
        <w:t xml:space="preserve"> (Arrow &amp; Kruz, </w:t>
      </w:r>
      <w:r w:rsidR="003F56F6" w:rsidRPr="003F56F6">
        <w:rPr>
          <w:rFonts w:ascii="Times New Roman" w:hAnsi="Times New Roman" w:cs="Times New Roman"/>
          <w:sz w:val="24"/>
          <w:szCs w:val="24"/>
        </w:rPr>
        <w:t>2013)</w:t>
      </w:r>
      <w:r w:rsidRPr="00D251D5">
        <w:rPr>
          <w:rFonts w:ascii="Times New Roman" w:hAnsi="Times New Roman" w:cs="Times New Roman"/>
          <w:sz w:val="24"/>
          <w:szCs w:val="24"/>
        </w:rPr>
        <w:t xml:space="preserve">. This is the ration between the returns and the amount of money invested in that particular project. This is very important when clearing the air on exactly how much money a company will generate from investing in a project. Using the number of returns by itself is not very useful since some projects might earn a considerable sum of money in terms of return, while in the real sense, the process of implementation used up too many company resources. Therefore, a company should ensure that before any of its resources are allocated into the different projects with the aim of long-term sustainability, proper vetting of the project is done. Using the average rate of return has by far proven to be a very effective metric for companies to use when determining how to strategically allocate their resources when making decisions about the capital budget. </w:t>
      </w:r>
    </w:p>
    <w:p w:rsidR="00FA6E9C" w:rsidRDefault="001865A5" w:rsidP="00D251D5">
      <w:pPr>
        <w:spacing w:line="480" w:lineRule="auto"/>
        <w:ind w:firstLine="720"/>
        <w:rPr>
          <w:rFonts w:ascii="Times New Roman" w:hAnsi="Times New Roman" w:cs="Times New Roman"/>
          <w:sz w:val="24"/>
          <w:szCs w:val="24"/>
        </w:rPr>
      </w:pPr>
      <w:r w:rsidRPr="00D251D5">
        <w:rPr>
          <w:rFonts w:ascii="Times New Roman" w:hAnsi="Times New Roman" w:cs="Times New Roman"/>
          <w:sz w:val="24"/>
          <w:szCs w:val="24"/>
        </w:rPr>
        <w:lastRenderedPageBreak/>
        <w:t>Despite the huge benefits accrued by using the average rate of return, the process has a downside. First, the process does not take into account the time value of money. It is assumed that the income in the current year is equal to the income in the future year, which is not so. The process should take into account the present value of all future cash flows. The process does also takes into account the increased risk factor associated with future projects, wh</w:t>
      </w:r>
      <w:r w:rsidR="00D251D5" w:rsidRPr="00D251D5">
        <w:rPr>
          <w:rFonts w:ascii="Times New Roman" w:hAnsi="Times New Roman" w:cs="Times New Roman"/>
          <w:sz w:val="24"/>
          <w:szCs w:val="24"/>
        </w:rPr>
        <w:t>i</w:t>
      </w:r>
      <w:r w:rsidRPr="00D251D5">
        <w:rPr>
          <w:rFonts w:ascii="Times New Roman" w:hAnsi="Times New Roman" w:cs="Times New Roman"/>
          <w:sz w:val="24"/>
          <w:szCs w:val="24"/>
        </w:rPr>
        <w:t>ch have increasingly high variability</w:t>
      </w:r>
      <w:r w:rsidR="003F56F6">
        <w:rPr>
          <w:rFonts w:ascii="Times New Roman" w:hAnsi="Times New Roman" w:cs="Times New Roman"/>
          <w:sz w:val="24"/>
          <w:szCs w:val="24"/>
        </w:rPr>
        <w:t xml:space="preserve"> (Arrow &amp; Kruz, </w:t>
      </w:r>
      <w:r w:rsidR="003F56F6" w:rsidRPr="003F56F6">
        <w:rPr>
          <w:rFonts w:ascii="Times New Roman" w:hAnsi="Times New Roman" w:cs="Times New Roman"/>
          <w:sz w:val="24"/>
          <w:szCs w:val="24"/>
        </w:rPr>
        <w:t>2013)</w:t>
      </w:r>
      <w:r w:rsidRPr="00D251D5">
        <w:rPr>
          <w:rFonts w:ascii="Times New Roman" w:hAnsi="Times New Roman" w:cs="Times New Roman"/>
          <w:sz w:val="24"/>
          <w:szCs w:val="24"/>
        </w:rPr>
        <w:t xml:space="preserve">. The process only provides a financial angle on whether or not to consider a project. It does not consider factors such as safety; hence, it provides a non-ideal comparative metric between projects which have very different variables.  </w:t>
      </w:r>
      <w:r w:rsidR="00876C6A" w:rsidRPr="00D251D5">
        <w:rPr>
          <w:rFonts w:ascii="Times New Roman" w:hAnsi="Times New Roman" w:cs="Times New Roman"/>
          <w:sz w:val="24"/>
          <w:szCs w:val="24"/>
        </w:rPr>
        <w:t xml:space="preserve"> </w:t>
      </w:r>
    </w:p>
    <w:p w:rsidR="00D251D5" w:rsidRDefault="00D251D5" w:rsidP="00D251D5">
      <w:pPr>
        <w:spacing w:line="480" w:lineRule="auto"/>
        <w:ind w:firstLine="720"/>
        <w:rPr>
          <w:rFonts w:ascii="Times New Roman" w:hAnsi="Times New Roman" w:cs="Times New Roman"/>
          <w:sz w:val="24"/>
          <w:szCs w:val="24"/>
        </w:rPr>
      </w:pPr>
    </w:p>
    <w:p w:rsidR="00D251D5" w:rsidRDefault="00D251D5">
      <w:pPr>
        <w:rPr>
          <w:rFonts w:ascii="Times New Roman" w:hAnsi="Times New Roman" w:cs="Times New Roman"/>
          <w:sz w:val="24"/>
          <w:szCs w:val="24"/>
        </w:rPr>
      </w:pPr>
      <w:r>
        <w:rPr>
          <w:rFonts w:ascii="Times New Roman" w:hAnsi="Times New Roman" w:cs="Times New Roman"/>
          <w:sz w:val="24"/>
          <w:szCs w:val="24"/>
        </w:rPr>
        <w:br w:type="page"/>
      </w:r>
    </w:p>
    <w:p w:rsidR="00D251D5" w:rsidRDefault="00D251D5" w:rsidP="00D251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D251D5" w:rsidRDefault="003F56F6" w:rsidP="00D251D5">
      <w:pPr>
        <w:spacing w:line="480" w:lineRule="auto"/>
        <w:ind w:firstLine="720"/>
        <w:rPr>
          <w:rFonts w:ascii="Times New Roman" w:hAnsi="Times New Roman" w:cs="Times New Roman"/>
          <w:sz w:val="24"/>
          <w:szCs w:val="24"/>
        </w:rPr>
      </w:pPr>
      <w:r w:rsidRPr="003F56F6">
        <w:rPr>
          <w:rFonts w:ascii="Times New Roman" w:hAnsi="Times New Roman" w:cs="Times New Roman"/>
          <w:sz w:val="24"/>
          <w:szCs w:val="24"/>
        </w:rPr>
        <w:t>Heckman, J. J., Moon, S. H., Pinto, R., Savelyev, P. A., &amp; Yavitz, A. (2010). The rate of return to the HighScope Perry Preschool Program. </w:t>
      </w:r>
      <w:r w:rsidRPr="003F56F6">
        <w:rPr>
          <w:rFonts w:ascii="Times New Roman" w:hAnsi="Times New Roman" w:cs="Times New Roman"/>
          <w:i/>
          <w:iCs/>
          <w:sz w:val="24"/>
          <w:szCs w:val="24"/>
        </w:rPr>
        <w:t>Journal of public Economics</w:t>
      </w:r>
      <w:r w:rsidRPr="003F56F6">
        <w:rPr>
          <w:rFonts w:ascii="Times New Roman" w:hAnsi="Times New Roman" w:cs="Times New Roman"/>
          <w:sz w:val="24"/>
          <w:szCs w:val="24"/>
        </w:rPr>
        <w:t>, </w:t>
      </w:r>
      <w:r w:rsidRPr="003F56F6">
        <w:rPr>
          <w:rFonts w:ascii="Times New Roman" w:hAnsi="Times New Roman" w:cs="Times New Roman"/>
          <w:i/>
          <w:iCs/>
          <w:sz w:val="24"/>
          <w:szCs w:val="24"/>
        </w:rPr>
        <w:t>94</w:t>
      </w:r>
      <w:r w:rsidRPr="003F56F6">
        <w:rPr>
          <w:rFonts w:ascii="Times New Roman" w:hAnsi="Times New Roman" w:cs="Times New Roman"/>
          <w:sz w:val="24"/>
          <w:szCs w:val="24"/>
        </w:rPr>
        <w:t>(1-2), 114-128.</w:t>
      </w:r>
    </w:p>
    <w:p w:rsidR="003F56F6" w:rsidRDefault="003F56F6" w:rsidP="00D251D5">
      <w:pPr>
        <w:spacing w:line="480" w:lineRule="auto"/>
        <w:ind w:firstLine="720"/>
        <w:rPr>
          <w:rFonts w:ascii="Times New Roman" w:hAnsi="Times New Roman" w:cs="Times New Roman"/>
          <w:sz w:val="24"/>
          <w:szCs w:val="24"/>
        </w:rPr>
      </w:pPr>
      <w:r w:rsidRPr="003F56F6">
        <w:rPr>
          <w:rFonts w:ascii="Times New Roman" w:hAnsi="Times New Roman" w:cs="Times New Roman"/>
          <w:sz w:val="24"/>
          <w:szCs w:val="24"/>
        </w:rPr>
        <w:t>Hsieh, C. T., &amp; Klenow, P. J. (2010). Development accounting. </w:t>
      </w:r>
      <w:r w:rsidRPr="003F56F6">
        <w:rPr>
          <w:rFonts w:ascii="Times New Roman" w:hAnsi="Times New Roman" w:cs="Times New Roman"/>
          <w:i/>
          <w:iCs/>
          <w:sz w:val="24"/>
          <w:szCs w:val="24"/>
        </w:rPr>
        <w:t>American Economic Journal: Macroeconomics</w:t>
      </w:r>
      <w:r w:rsidRPr="003F56F6">
        <w:rPr>
          <w:rFonts w:ascii="Times New Roman" w:hAnsi="Times New Roman" w:cs="Times New Roman"/>
          <w:sz w:val="24"/>
          <w:szCs w:val="24"/>
        </w:rPr>
        <w:t>, </w:t>
      </w:r>
      <w:r w:rsidRPr="003F56F6">
        <w:rPr>
          <w:rFonts w:ascii="Times New Roman" w:hAnsi="Times New Roman" w:cs="Times New Roman"/>
          <w:i/>
          <w:iCs/>
          <w:sz w:val="24"/>
          <w:szCs w:val="24"/>
        </w:rPr>
        <w:t>2</w:t>
      </w:r>
      <w:r w:rsidRPr="003F56F6">
        <w:rPr>
          <w:rFonts w:ascii="Times New Roman" w:hAnsi="Times New Roman" w:cs="Times New Roman"/>
          <w:sz w:val="24"/>
          <w:szCs w:val="24"/>
        </w:rPr>
        <w:t>(1), 207-23.</w:t>
      </w:r>
    </w:p>
    <w:p w:rsidR="003F56F6" w:rsidRDefault="003F56F6" w:rsidP="00D251D5">
      <w:pPr>
        <w:spacing w:line="480" w:lineRule="auto"/>
        <w:ind w:firstLine="720"/>
        <w:rPr>
          <w:rFonts w:ascii="Times New Roman" w:hAnsi="Times New Roman" w:cs="Times New Roman"/>
          <w:sz w:val="24"/>
          <w:szCs w:val="24"/>
        </w:rPr>
      </w:pPr>
      <w:r w:rsidRPr="003F56F6">
        <w:rPr>
          <w:rFonts w:ascii="Times New Roman" w:hAnsi="Times New Roman" w:cs="Times New Roman"/>
          <w:sz w:val="24"/>
          <w:szCs w:val="24"/>
        </w:rPr>
        <w:t>Arrow, K. J., &amp; Kruz, M. (2013). </w:t>
      </w:r>
      <w:r w:rsidRPr="003F56F6">
        <w:rPr>
          <w:rFonts w:ascii="Times New Roman" w:hAnsi="Times New Roman" w:cs="Times New Roman"/>
          <w:i/>
          <w:iCs/>
          <w:sz w:val="24"/>
          <w:szCs w:val="24"/>
        </w:rPr>
        <w:t>Public investment, the rate of return, and optimal fiscal policy</w:t>
      </w:r>
      <w:r w:rsidRPr="003F56F6">
        <w:rPr>
          <w:rFonts w:ascii="Times New Roman" w:hAnsi="Times New Roman" w:cs="Times New Roman"/>
          <w:sz w:val="24"/>
          <w:szCs w:val="24"/>
        </w:rPr>
        <w:t>. RFF Press.</w:t>
      </w:r>
    </w:p>
    <w:p w:rsidR="00C12E69" w:rsidRDefault="00C12E69" w:rsidP="00D251D5">
      <w:pPr>
        <w:spacing w:line="480" w:lineRule="auto"/>
        <w:ind w:firstLine="720"/>
        <w:rPr>
          <w:rFonts w:ascii="Times New Roman" w:hAnsi="Times New Roman" w:cs="Times New Roman"/>
          <w:sz w:val="24"/>
          <w:szCs w:val="24"/>
        </w:rPr>
      </w:pPr>
      <w:r w:rsidRPr="00C12E69">
        <w:rPr>
          <w:rFonts w:ascii="Times New Roman" w:hAnsi="Times New Roman" w:cs="Times New Roman"/>
          <w:sz w:val="24"/>
          <w:szCs w:val="24"/>
        </w:rPr>
        <w:t>Chan, A. L. C., Lin, S. W., &amp; Strong, N. (2009). Accounting conservatism and the cost of equity capital: UK evidence. </w:t>
      </w:r>
      <w:r w:rsidRPr="00C12E69">
        <w:rPr>
          <w:rFonts w:ascii="Times New Roman" w:hAnsi="Times New Roman" w:cs="Times New Roman"/>
          <w:i/>
          <w:iCs/>
          <w:sz w:val="24"/>
          <w:szCs w:val="24"/>
        </w:rPr>
        <w:t>Managerial Finance</w:t>
      </w:r>
      <w:r w:rsidRPr="00C12E69">
        <w:rPr>
          <w:rFonts w:ascii="Times New Roman" w:hAnsi="Times New Roman" w:cs="Times New Roman"/>
          <w:sz w:val="24"/>
          <w:szCs w:val="24"/>
        </w:rPr>
        <w:t>, </w:t>
      </w:r>
      <w:r w:rsidRPr="00C12E69">
        <w:rPr>
          <w:rFonts w:ascii="Times New Roman" w:hAnsi="Times New Roman" w:cs="Times New Roman"/>
          <w:i/>
          <w:iCs/>
          <w:sz w:val="24"/>
          <w:szCs w:val="24"/>
        </w:rPr>
        <w:t>35</w:t>
      </w:r>
      <w:r w:rsidRPr="00C12E69">
        <w:rPr>
          <w:rFonts w:ascii="Times New Roman" w:hAnsi="Times New Roman" w:cs="Times New Roman"/>
          <w:sz w:val="24"/>
          <w:szCs w:val="24"/>
        </w:rPr>
        <w:t>(4), 325-345.</w:t>
      </w:r>
    </w:p>
    <w:p w:rsidR="00C12E69" w:rsidRDefault="00C12E69" w:rsidP="00D251D5">
      <w:pPr>
        <w:spacing w:line="480" w:lineRule="auto"/>
        <w:ind w:firstLine="720"/>
        <w:rPr>
          <w:rFonts w:ascii="Times New Roman" w:hAnsi="Times New Roman" w:cs="Times New Roman"/>
          <w:sz w:val="24"/>
          <w:szCs w:val="24"/>
        </w:rPr>
      </w:pPr>
      <w:r w:rsidRPr="00C12E69">
        <w:rPr>
          <w:rFonts w:ascii="Times New Roman" w:hAnsi="Times New Roman" w:cs="Times New Roman"/>
          <w:sz w:val="24"/>
          <w:szCs w:val="24"/>
        </w:rPr>
        <w:t>Gigler, F., Kanodia, C., Sapra, H., &amp; Venugopalan, R. (2009). Accounting conservatism and the efficiency of debt contracts. </w:t>
      </w:r>
      <w:r w:rsidRPr="00C12E69">
        <w:rPr>
          <w:rFonts w:ascii="Times New Roman" w:hAnsi="Times New Roman" w:cs="Times New Roman"/>
          <w:i/>
          <w:iCs/>
          <w:sz w:val="24"/>
          <w:szCs w:val="24"/>
        </w:rPr>
        <w:t>Journal of Accounting Research</w:t>
      </w:r>
      <w:r w:rsidRPr="00C12E69">
        <w:rPr>
          <w:rFonts w:ascii="Times New Roman" w:hAnsi="Times New Roman" w:cs="Times New Roman"/>
          <w:sz w:val="24"/>
          <w:szCs w:val="24"/>
        </w:rPr>
        <w:t>, </w:t>
      </w:r>
      <w:r w:rsidRPr="00C12E69">
        <w:rPr>
          <w:rFonts w:ascii="Times New Roman" w:hAnsi="Times New Roman" w:cs="Times New Roman"/>
          <w:i/>
          <w:iCs/>
          <w:sz w:val="24"/>
          <w:szCs w:val="24"/>
        </w:rPr>
        <w:t>47</w:t>
      </w:r>
      <w:r w:rsidRPr="00C12E69">
        <w:rPr>
          <w:rFonts w:ascii="Times New Roman" w:hAnsi="Times New Roman" w:cs="Times New Roman"/>
          <w:sz w:val="24"/>
          <w:szCs w:val="24"/>
        </w:rPr>
        <w:t>(3), 767-797.</w:t>
      </w:r>
    </w:p>
    <w:p w:rsidR="00C12E69" w:rsidRDefault="00C12E69" w:rsidP="00D251D5">
      <w:pPr>
        <w:spacing w:line="480" w:lineRule="auto"/>
        <w:ind w:firstLine="720"/>
        <w:rPr>
          <w:rFonts w:ascii="Times New Roman" w:hAnsi="Times New Roman" w:cs="Times New Roman"/>
          <w:sz w:val="24"/>
          <w:szCs w:val="24"/>
        </w:rPr>
      </w:pPr>
      <w:r w:rsidRPr="00C12E69">
        <w:rPr>
          <w:rFonts w:ascii="Times New Roman" w:hAnsi="Times New Roman" w:cs="Times New Roman"/>
          <w:sz w:val="24"/>
          <w:szCs w:val="24"/>
        </w:rPr>
        <w:t>Proctor, R. (2012). </w:t>
      </w:r>
      <w:r w:rsidRPr="00C12E69">
        <w:rPr>
          <w:rFonts w:ascii="Times New Roman" w:hAnsi="Times New Roman" w:cs="Times New Roman"/>
          <w:i/>
          <w:iCs/>
          <w:sz w:val="24"/>
          <w:szCs w:val="24"/>
        </w:rPr>
        <w:t>Managerial Accounting: Decision Makling and Performance Management</w:t>
      </w:r>
      <w:r w:rsidRPr="00C12E69">
        <w:rPr>
          <w:rFonts w:ascii="Times New Roman" w:hAnsi="Times New Roman" w:cs="Times New Roman"/>
          <w:sz w:val="24"/>
          <w:szCs w:val="24"/>
        </w:rPr>
        <w:t>. FT Press.</w:t>
      </w:r>
    </w:p>
    <w:p w:rsidR="00C12E69" w:rsidRDefault="00C12E69" w:rsidP="00D251D5">
      <w:pPr>
        <w:spacing w:line="480" w:lineRule="auto"/>
        <w:ind w:firstLine="720"/>
        <w:rPr>
          <w:rFonts w:ascii="Times New Roman" w:hAnsi="Times New Roman" w:cs="Times New Roman"/>
          <w:sz w:val="24"/>
          <w:szCs w:val="24"/>
        </w:rPr>
      </w:pPr>
      <w:r w:rsidRPr="00C12E69">
        <w:rPr>
          <w:rFonts w:ascii="Times New Roman" w:hAnsi="Times New Roman" w:cs="Times New Roman"/>
          <w:sz w:val="24"/>
          <w:szCs w:val="24"/>
        </w:rPr>
        <w:t>Nezlobin, A., Rajan, M. V., &amp; Reichelstein, S. (2012). Dynamics of rate-of-return regulation. </w:t>
      </w:r>
      <w:r w:rsidRPr="00C12E69">
        <w:rPr>
          <w:rFonts w:ascii="Times New Roman" w:hAnsi="Times New Roman" w:cs="Times New Roman"/>
          <w:i/>
          <w:iCs/>
          <w:sz w:val="24"/>
          <w:szCs w:val="24"/>
        </w:rPr>
        <w:t>Management Science</w:t>
      </w:r>
      <w:r w:rsidRPr="00C12E69">
        <w:rPr>
          <w:rFonts w:ascii="Times New Roman" w:hAnsi="Times New Roman" w:cs="Times New Roman"/>
          <w:sz w:val="24"/>
          <w:szCs w:val="24"/>
        </w:rPr>
        <w:t>, </w:t>
      </w:r>
      <w:r w:rsidRPr="00C12E69">
        <w:rPr>
          <w:rFonts w:ascii="Times New Roman" w:hAnsi="Times New Roman" w:cs="Times New Roman"/>
          <w:i/>
          <w:iCs/>
          <w:sz w:val="24"/>
          <w:szCs w:val="24"/>
        </w:rPr>
        <w:t>58</w:t>
      </w:r>
      <w:r w:rsidRPr="00C12E69">
        <w:rPr>
          <w:rFonts w:ascii="Times New Roman" w:hAnsi="Times New Roman" w:cs="Times New Roman"/>
          <w:sz w:val="24"/>
          <w:szCs w:val="24"/>
        </w:rPr>
        <w:t>(5), 980-995.</w:t>
      </w:r>
    </w:p>
    <w:p w:rsidR="00C12E69" w:rsidRPr="00D251D5" w:rsidRDefault="00C12E69" w:rsidP="00D251D5">
      <w:pPr>
        <w:spacing w:line="480" w:lineRule="auto"/>
        <w:ind w:firstLine="720"/>
        <w:rPr>
          <w:rFonts w:ascii="Times New Roman" w:hAnsi="Times New Roman" w:cs="Times New Roman"/>
          <w:sz w:val="24"/>
          <w:szCs w:val="24"/>
        </w:rPr>
      </w:pPr>
    </w:p>
    <w:sectPr w:rsidR="00C12E69" w:rsidRPr="00D251D5" w:rsidSect="00D251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E1A" w:rsidRDefault="00535E1A" w:rsidP="00D251D5">
      <w:pPr>
        <w:spacing w:after="0" w:line="240" w:lineRule="auto"/>
      </w:pPr>
      <w:r>
        <w:separator/>
      </w:r>
    </w:p>
  </w:endnote>
  <w:endnote w:type="continuationSeparator" w:id="0">
    <w:p w:rsidR="00535E1A" w:rsidRDefault="00535E1A" w:rsidP="00D25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E1A" w:rsidRDefault="00535E1A" w:rsidP="00D251D5">
      <w:pPr>
        <w:spacing w:after="0" w:line="240" w:lineRule="auto"/>
      </w:pPr>
      <w:r>
        <w:separator/>
      </w:r>
    </w:p>
  </w:footnote>
  <w:footnote w:type="continuationSeparator" w:id="0">
    <w:p w:rsidR="00535E1A" w:rsidRDefault="00535E1A" w:rsidP="00D25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1D5" w:rsidRPr="00D251D5" w:rsidRDefault="00D251D5">
    <w:pPr>
      <w:pStyle w:val="Header"/>
      <w:rPr>
        <w:rFonts w:ascii="Times New Roman" w:hAnsi="Times New Roman" w:cs="Times New Roman"/>
        <w:sz w:val="24"/>
        <w:szCs w:val="24"/>
      </w:rPr>
    </w:pPr>
    <w:r w:rsidRPr="00D251D5">
      <w:rPr>
        <w:rFonts w:ascii="Times New Roman" w:hAnsi="Times New Roman" w:cs="Times New Roman"/>
        <w:sz w:val="24"/>
        <w:szCs w:val="24"/>
      </w:rPr>
      <w:t>ARR</w:t>
    </w:r>
    <w:r w:rsidRPr="00D251D5">
      <w:rPr>
        <w:rFonts w:ascii="Times New Roman" w:hAnsi="Times New Roman" w:cs="Times New Roman"/>
        <w:sz w:val="24"/>
        <w:szCs w:val="24"/>
      </w:rPr>
      <w:tab/>
    </w:r>
    <w:r w:rsidRPr="00D251D5">
      <w:rPr>
        <w:rFonts w:ascii="Times New Roman" w:hAnsi="Times New Roman" w:cs="Times New Roman"/>
        <w:sz w:val="24"/>
        <w:szCs w:val="24"/>
      </w:rPr>
      <w:tab/>
    </w:r>
    <w:r w:rsidRPr="00D251D5">
      <w:rPr>
        <w:rFonts w:ascii="Times New Roman" w:hAnsi="Times New Roman" w:cs="Times New Roman"/>
        <w:sz w:val="24"/>
        <w:szCs w:val="24"/>
      </w:rPr>
      <w:fldChar w:fldCharType="begin"/>
    </w:r>
    <w:r w:rsidRPr="00D251D5">
      <w:rPr>
        <w:rFonts w:ascii="Times New Roman" w:hAnsi="Times New Roman" w:cs="Times New Roman"/>
        <w:sz w:val="24"/>
        <w:szCs w:val="24"/>
      </w:rPr>
      <w:instrText xml:space="preserve"> PAGE   \* MERGEFORMAT </w:instrText>
    </w:r>
    <w:r w:rsidRPr="00D251D5">
      <w:rPr>
        <w:rFonts w:ascii="Times New Roman" w:hAnsi="Times New Roman" w:cs="Times New Roman"/>
        <w:sz w:val="24"/>
        <w:szCs w:val="24"/>
      </w:rPr>
      <w:fldChar w:fldCharType="separate"/>
    </w:r>
    <w:r w:rsidR="00C12E69">
      <w:rPr>
        <w:rFonts w:ascii="Times New Roman" w:hAnsi="Times New Roman" w:cs="Times New Roman"/>
        <w:noProof/>
        <w:sz w:val="24"/>
        <w:szCs w:val="24"/>
      </w:rPr>
      <w:t>8</w:t>
    </w:r>
    <w:r w:rsidRPr="00D251D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1D5" w:rsidRPr="00D251D5" w:rsidRDefault="00D251D5" w:rsidP="00D251D5">
    <w:pPr>
      <w:pStyle w:val="Header"/>
      <w:rPr>
        <w:rFonts w:ascii="Times New Roman" w:hAnsi="Times New Roman" w:cs="Times New Roman"/>
        <w:sz w:val="24"/>
        <w:szCs w:val="24"/>
      </w:rPr>
    </w:pPr>
    <w:r w:rsidRPr="00D251D5">
      <w:rPr>
        <w:rFonts w:ascii="Times New Roman" w:hAnsi="Times New Roman" w:cs="Times New Roman"/>
        <w:sz w:val="24"/>
        <w:szCs w:val="24"/>
      </w:rPr>
      <w:t>Running head: ARR</w:t>
    </w:r>
    <w:r w:rsidRPr="00D251D5">
      <w:rPr>
        <w:rFonts w:ascii="Times New Roman" w:hAnsi="Times New Roman" w:cs="Times New Roman"/>
        <w:sz w:val="24"/>
        <w:szCs w:val="24"/>
      </w:rPr>
      <w:tab/>
    </w:r>
    <w:r w:rsidRPr="00D251D5">
      <w:rPr>
        <w:rFonts w:ascii="Times New Roman" w:hAnsi="Times New Roman" w:cs="Times New Roman"/>
        <w:sz w:val="24"/>
        <w:szCs w:val="24"/>
      </w:rPr>
      <w:tab/>
    </w:r>
    <w:r w:rsidRPr="00D251D5">
      <w:rPr>
        <w:rFonts w:ascii="Times New Roman" w:hAnsi="Times New Roman" w:cs="Times New Roman"/>
        <w:sz w:val="24"/>
        <w:szCs w:val="24"/>
      </w:rPr>
      <w:fldChar w:fldCharType="begin"/>
    </w:r>
    <w:r w:rsidRPr="00D251D5">
      <w:rPr>
        <w:rFonts w:ascii="Times New Roman" w:hAnsi="Times New Roman" w:cs="Times New Roman"/>
        <w:sz w:val="24"/>
        <w:szCs w:val="24"/>
      </w:rPr>
      <w:instrText xml:space="preserve"> PAGE   \* MERGEFORMAT </w:instrText>
    </w:r>
    <w:r w:rsidRPr="00D251D5">
      <w:rPr>
        <w:rFonts w:ascii="Times New Roman" w:hAnsi="Times New Roman" w:cs="Times New Roman"/>
        <w:sz w:val="24"/>
        <w:szCs w:val="24"/>
      </w:rPr>
      <w:fldChar w:fldCharType="separate"/>
    </w:r>
    <w:r w:rsidR="00C12E69">
      <w:rPr>
        <w:rFonts w:ascii="Times New Roman" w:hAnsi="Times New Roman" w:cs="Times New Roman"/>
        <w:noProof/>
        <w:sz w:val="24"/>
        <w:szCs w:val="24"/>
      </w:rPr>
      <w:t>1</w:t>
    </w:r>
    <w:r w:rsidRPr="00D251D5">
      <w:rPr>
        <w:rFonts w:ascii="Times New Roman" w:hAnsi="Times New Roman" w:cs="Times New Roman"/>
        <w:noProof/>
        <w:sz w:val="24"/>
        <w:szCs w:val="24"/>
      </w:rPr>
      <w:fldChar w:fldCharType="end"/>
    </w:r>
  </w:p>
  <w:p w:rsidR="00D251D5" w:rsidRDefault="00D25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B5"/>
    <w:rsid w:val="00007ED7"/>
    <w:rsid w:val="00086A2F"/>
    <w:rsid w:val="00100CEA"/>
    <w:rsid w:val="001865A5"/>
    <w:rsid w:val="00194098"/>
    <w:rsid w:val="00231521"/>
    <w:rsid w:val="002C7D2F"/>
    <w:rsid w:val="003B1E37"/>
    <w:rsid w:val="003C3C37"/>
    <w:rsid w:val="003F56F6"/>
    <w:rsid w:val="004475B5"/>
    <w:rsid w:val="00535E1A"/>
    <w:rsid w:val="005B70F0"/>
    <w:rsid w:val="00616EEA"/>
    <w:rsid w:val="00833C5D"/>
    <w:rsid w:val="00876C6A"/>
    <w:rsid w:val="008B6024"/>
    <w:rsid w:val="009C1BF7"/>
    <w:rsid w:val="00C12E69"/>
    <w:rsid w:val="00C22A89"/>
    <w:rsid w:val="00D251D5"/>
    <w:rsid w:val="00D45AB0"/>
    <w:rsid w:val="00E20AC7"/>
    <w:rsid w:val="00EF1DC3"/>
    <w:rsid w:val="00F0548C"/>
    <w:rsid w:val="00F64D64"/>
    <w:rsid w:val="00F8157F"/>
    <w:rsid w:val="00FA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705EF-0FF4-4F18-8F4D-06F4DD084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1E37"/>
    <w:rPr>
      <w:color w:val="808080"/>
    </w:rPr>
  </w:style>
  <w:style w:type="paragraph" w:styleId="Header">
    <w:name w:val="header"/>
    <w:basedOn w:val="Normal"/>
    <w:link w:val="HeaderChar"/>
    <w:uiPriority w:val="99"/>
    <w:unhideWhenUsed/>
    <w:rsid w:val="00D25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1D5"/>
  </w:style>
  <w:style w:type="paragraph" w:styleId="Footer">
    <w:name w:val="footer"/>
    <w:basedOn w:val="Normal"/>
    <w:link w:val="FooterChar"/>
    <w:uiPriority w:val="99"/>
    <w:unhideWhenUsed/>
    <w:rsid w:val="00D25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8</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7</cp:revision>
  <dcterms:created xsi:type="dcterms:W3CDTF">2019-11-16T08:01:00Z</dcterms:created>
  <dcterms:modified xsi:type="dcterms:W3CDTF">2019-11-17T04:35:00Z</dcterms:modified>
</cp:coreProperties>
</file>